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9AB" w:rsidRPr="009E150B" w:rsidRDefault="009E150B">
      <w:pPr>
        <w:keepNext/>
        <w:jc w:val="center"/>
        <w:rPr>
          <w:rFonts w:ascii="Palatino Linotype" w:hAnsi="Palatino Linotype"/>
          <w:sz w:val="24"/>
          <w:szCs w:val="24"/>
        </w:rPr>
      </w:pPr>
      <w:r w:rsidRPr="009E150B">
        <w:rPr>
          <w:rFonts w:ascii="Palatino Linotype" w:hAnsi="Palatino Linotype"/>
          <w:noProof/>
          <w:sz w:val="24"/>
          <w:szCs w:val="24"/>
        </w:rPr>
        <w:drawing>
          <wp:anchor distT="0" distB="0" distL="114935" distR="114935" simplePos="0" relativeHeight="251659264" behindDoc="1" locked="0" layoutInCell="1" allowOverlap="1" wp14:anchorId="4923716C" wp14:editId="6FC3074F">
            <wp:simplePos x="0" y="0"/>
            <wp:positionH relativeFrom="margin">
              <wp:posOffset>161925</wp:posOffset>
            </wp:positionH>
            <wp:positionV relativeFrom="paragraph">
              <wp:posOffset>-565785</wp:posOffset>
            </wp:positionV>
            <wp:extent cx="866775" cy="1294765"/>
            <wp:effectExtent l="0" t="0" r="9525" b="63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12947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BD4577" w:rsidRPr="009E150B">
        <w:rPr>
          <w:rFonts w:ascii="Palatino Linotype" w:hAnsi="Palatino Linotype"/>
          <w:b/>
          <w:bCs/>
          <w:sz w:val="24"/>
          <w:szCs w:val="24"/>
        </w:rPr>
        <w:t>COMUNE DI TERRAVECCHIA</w:t>
      </w:r>
    </w:p>
    <w:p w:rsidR="001479AB" w:rsidRPr="009E150B" w:rsidRDefault="00BD4577">
      <w:pPr>
        <w:keepNext/>
        <w:spacing w:after="600"/>
        <w:jc w:val="center"/>
        <w:rPr>
          <w:rFonts w:ascii="Palatino Linotype" w:hAnsi="Palatino Linotype"/>
          <w:sz w:val="24"/>
          <w:szCs w:val="24"/>
        </w:rPr>
      </w:pPr>
      <w:bookmarkStart w:id="0" w:name="_Hlk236752780"/>
      <w:bookmarkEnd w:id="0"/>
      <w:r w:rsidRPr="009E150B">
        <w:rPr>
          <w:rFonts w:ascii="Palatino Linotype" w:hAnsi="Palatino Linotype"/>
          <w:sz w:val="24"/>
          <w:szCs w:val="24"/>
        </w:rPr>
        <w:t>(Provincia di Cosenza)</w:t>
      </w:r>
    </w:p>
    <w:p w:rsidR="001479AB" w:rsidRPr="009E150B" w:rsidRDefault="00BD4577">
      <w:pPr>
        <w:keepNext/>
        <w:jc w:val="center"/>
        <w:rPr>
          <w:rFonts w:ascii="Palatino Linotype" w:hAnsi="Palatino Linotype"/>
          <w:sz w:val="28"/>
          <w:szCs w:val="28"/>
        </w:rPr>
      </w:pPr>
      <w:r w:rsidRPr="009E150B">
        <w:rPr>
          <w:rFonts w:ascii="Palatino Linotype" w:hAnsi="Palatino Linotype"/>
          <w:b/>
          <w:bCs/>
          <w:sz w:val="28"/>
          <w:szCs w:val="28"/>
        </w:rPr>
        <w:t>REGOLAMENTO PER LA DEFINIZIONE AGEVOLATA</w:t>
      </w:r>
    </w:p>
    <w:p w:rsidR="001479AB" w:rsidRPr="009E150B" w:rsidRDefault="00BD4577">
      <w:pPr>
        <w:keepNext/>
        <w:spacing w:after="200"/>
        <w:jc w:val="center"/>
        <w:rPr>
          <w:rFonts w:ascii="Palatino Linotype" w:hAnsi="Palatino Linotype"/>
          <w:sz w:val="28"/>
          <w:szCs w:val="28"/>
        </w:rPr>
      </w:pPr>
      <w:r w:rsidRPr="009E150B">
        <w:rPr>
          <w:rFonts w:ascii="Palatino Linotype" w:hAnsi="Palatino Linotype"/>
          <w:b/>
          <w:bCs/>
          <w:sz w:val="28"/>
          <w:szCs w:val="28"/>
        </w:rPr>
        <w:t>DELLE ENTRATE COMUNALI</w:t>
      </w:r>
    </w:p>
    <w:p w:rsidR="001479AB" w:rsidRPr="009E150B" w:rsidRDefault="00BD4577">
      <w:pPr>
        <w:keepNext/>
        <w:spacing w:after="600"/>
        <w:jc w:val="center"/>
        <w:rPr>
          <w:rFonts w:ascii="Palatino Linotype" w:hAnsi="Palatino Linotype"/>
          <w:sz w:val="24"/>
          <w:szCs w:val="24"/>
        </w:rPr>
      </w:pPr>
      <w:r w:rsidRPr="009E150B">
        <w:rPr>
          <w:rFonts w:ascii="Palatino Linotype" w:hAnsi="Palatino Linotype"/>
          <w:sz w:val="24"/>
          <w:szCs w:val="24"/>
        </w:rPr>
        <w:t>(art. 1, commi da 102 a 110, della legge 30 dicembre 2025, n. 199)</w:t>
      </w:r>
    </w:p>
    <w:p w:rsidR="001479AB" w:rsidRPr="009E150B" w:rsidRDefault="00BD4577">
      <w:pPr>
        <w:keepNext/>
        <w:spacing w:after="800"/>
        <w:jc w:val="center"/>
        <w:rPr>
          <w:rFonts w:ascii="Palatino Linotype" w:hAnsi="Palatino Linotype"/>
          <w:sz w:val="24"/>
          <w:szCs w:val="24"/>
        </w:rPr>
      </w:pPr>
      <w:r w:rsidRPr="009E150B">
        <w:rPr>
          <w:rFonts w:ascii="Palatino Linotype" w:hAnsi="Palatino Linotype"/>
          <w:sz w:val="24"/>
          <w:szCs w:val="24"/>
        </w:rPr>
        <w:t xml:space="preserve">Approvato con deliberazione del Consiglio comunale n. </w:t>
      </w:r>
      <w:r w:rsidR="00FB6E60">
        <w:rPr>
          <w:rFonts w:ascii="Palatino Linotype" w:hAnsi="Palatino Linotype"/>
          <w:sz w:val="24"/>
          <w:szCs w:val="24"/>
        </w:rPr>
        <w:t>23</w:t>
      </w:r>
      <w:r w:rsidRPr="009E150B">
        <w:rPr>
          <w:rFonts w:ascii="Palatino Linotype" w:hAnsi="Palatino Linotype"/>
          <w:sz w:val="24"/>
          <w:szCs w:val="24"/>
        </w:rPr>
        <w:t xml:space="preserve"> del </w:t>
      </w:r>
      <w:r w:rsidR="00FB6E60">
        <w:rPr>
          <w:rFonts w:ascii="Palatino Linotype" w:hAnsi="Palatino Linotype"/>
          <w:sz w:val="24"/>
          <w:szCs w:val="24"/>
        </w:rPr>
        <w:t>22.09.2026</w:t>
      </w:r>
      <w:bookmarkStart w:id="1" w:name="_GoBack"/>
      <w:bookmarkEnd w:id="1"/>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1</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Oggetto del regolamento</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Il presente regolamento, adottato nell'ambito della potestà regolamentare prevista dall'articolo 52 del decreto legislativo 15 dicembre 1997, n. 446, e in attuazione dell'articolo 1, commi da 102 a 110, della legge 30 dicembre 2025, n. 199, disciplina la definizione agevolata delle entrate comunali, tributarie e patrimoniali, non riscosse a seguito di accertamenti esecutivi di cui all'articolo 1, comma 792, della legge 27 dicembre 2019, n. 160, e di ingiunzioni di pagamento di cui al regio decreto 14 aprile 1910, n. 639, la cui riscossione è gestita direttamente dal Comune.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La definizione agevolata ha carattere straordinario ed è ammessa esclusivamente per le dichiarazioni di adesione presentate nel termine di cui all'articolo 4, comma 1.</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2</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Oggetto della definizione agevolata</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I debiti risultanti da accertamenti esecutivi e da ingiunzioni di pagamento, relativi alle annualità dal 1° gennaio 2000 in poi, possono essere estinti versando le sole somme dovute a titolo di capitale e quelle maturate a titolo di rimborso delle spese di notificazione degli atti e delle spese per le eventuali procedure esecutive e cautelari. Non sono dovute le sanzioni, gli interessi di qualsiasi natura, compresi quelli di mora e di dilazione, e gli oneri di riscossione di cui all'articolo 1, comma 803, della legge n. 160 del 2019.</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Ai fini della definizione agevolata il debito deve risultare da una o da entrambe le seguenti fattispecie:</w:t>
      </w:r>
    </w:p>
    <w:p w:rsidR="001479AB" w:rsidRPr="009E150B" w:rsidRDefault="00BD4577">
      <w:pPr>
        <w:spacing w:after="80" w:line="276" w:lineRule="auto"/>
        <w:ind w:left="567"/>
        <w:jc w:val="both"/>
        <w:rPr>
          <w:rFonts w:ascii="Palatino Linotype" w:hAnsi="Palatino Linotype"/>
          <w:sz w:val="24"/>
          <w:szCs w:val="24"/>
        </w:rPr>
      </w:pPr>
      <w:r w:rsidRPr="009E150B">
        <w:rPr>
          <w:rFonts w:ascii="Palatino Linotype" w:hAnsi="Palatino Linotype"/>
          <w:sz w:val="24"/>
          <w:szCs w:val="24"/>
        </w:rPr>
        <w:t xml:space="preserve">a) un accertamento esecutivo, di cui all'articolo 1, comma 792, della legge n. 160 del 2019, che abbia acquistato efficacia di titolo esecutivo, per decorso del termine </w:t>
      </w:r>
      <w:r w:rsidRPr="009E150B">
        <w:rPr>
          <w:rFonts w:ascii="Palatino Linotype" w:hAnsi="Palatino Linotype"/>
          <w:sz w:val="24"/>
          <w:szCs w:val="24"/>
        </w:rPr>
        <w:lastRenderedPageBreak/>
        <w:t>utile per la proposizione del ricorso, entro la data di entrata in vigore del presente regolamento, di cui all'articolo 11, comma 1;</w:t>
      </w:r>
    </w:p>
    <w:p w:rsidR="001479AB" w:rsidRPr="009E150B" w:rsidRDefault="00BD4577">
      <w:pPr>
        <w:spacing w:after="80" w:line="276" w:lineRule="auto"/>
        <w:ind w:left="567"/>
        <w:jc w:val="both"/>
        <w:rPr>
          <w:rFonts w:ascii="Palatino Linotype" w:hAnsi="Palatino Linotype"/>
          <w:sz w:val="24"/>
          <w:szCs w:val="24"/>
        </w:rPr>
      </w:pPr>
      <w:r w:rsidRPr="009E150B">
        <w:rPr>
          <w:rFonts w:ascii="Palatino Linotype" w:hAnsi="Palatino Linotype"/>
          <w:sz w:val="24"/>
          <w:szCs w:val="24"/>
        </w:rPr>
        <w:t>b) un'ingiunzione di pagamento, di cui al regio decreto n. 639 del 1910, emessa entro la data di entrata in vigore del presente regolamento.</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3. Per le sanzioni amministrative, comprese quelle per violazioni del codice della strada di cui al decreto legislativo 30 aprile 1992, n. 285, diverse da quelle irrogate per violazioni tributarie, le disposizioni del presente articolo si applicano limitatamente agli interessi, inclusi quelli di mora, alle maggiorazioni di cui all'articolo 27, sesto comma, della legge 24 novembre 1981, n. 689, e alle somme maturate a titolo di oneri della riscossione.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4. La definizione agevolata può riguardare anche il singolo debito compreso in un accertamento esecutivo o in un'ingiunzione di pagamento.</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5. Sono esclusi dalla definizione agevolata:</w:t>
      </w:r>
    </w:p>
    <w:p w:rsidR="001479AB" w:rsidRPr="009E150B" w:rsidRDefault="00BD4577">
      <w:pPr>
        <w:spacing w:after="80" w:line="276" w:lineRule="auto"/>
        <w:ind w:left="567"/>
        <w:jc w:val="both"/>
        <w:rPr>
          <w:rFonts w:ascii="Palatino Linotype" w:hAnsi="Palatino Linotype"/>
          <w:sz w:val="24"/>
          <w:szCs w:val="24"/>
        </w:rPr>
      </w:pPr>
      <w:r w:rsidRPr="009E150B">
        <w:rPr>
          <w:rFonts w:ascii="Palatino Linotype" w:hAnsi="Palatino Linotype"/>
          <w:sz w:val="24"/>
          <w:szCs w:val="24"/>
        </w:rPr>
        <w:t>a) i crediti derivanti da pronunce di condanna della Corte dei conti;</w:t>
      </w:r>
    </w:p>
    <w:p w:rsidR="001479AB" w:rsidRPr="009E150B" w:rsidRDefault="00BD4577">
      <w:pPr>
        <w:spacing w:after="80" w:line="276" w:lineRule="auto"/>
        <w:ind w:left="567"/>
        <w:jc w:val="both"/>
        <w:rPr>
          <w:rFonts w:ascii="Palatino Linotype" w:hAnsi="Palatino Linotype"/>
          <w:sz w:val="24"/>
          <w:szCs w:val="24"/>
        </w:rPr>
      </w:pPr>
      <w:r w:rsidRPr="009E150B">
        <w:rPr>
          <w:rFonts w:ascii="Palatino Linotype" w:hAnsi="Palatino Linotype"/>
          <w:sz w:val="24"/>
          <w:szCs w:val="24"/>
        </w:rPr>
        <w:t>b) i debiti il cui carico è stato affidato all'Agenzia delle entrate-Riscossione, disciplinati dall'articolo 3;</w:t>
      </w:r>
    </w:p>
    <w:p w:rsidR="001479AB" w:rsidRPr="009E150B" w:rsidRDefault="00BD4577">
      <w:pPr>
        <w:spacing w:after="80" w:line="276" w:lineRule="auto"/>
        <w:ind w:left="567"/>
        <w:jc w:val="both"/>
        <w:rPr>
          <w:rFonts w:ascii="Palatino Linotype" w:hAnsi="Palatino Linotype"/>
          <w:sz w:val="24"/>
          <w:szCs w:val="24"/>
        </w:rPr>
      </w:pPr>
      <w:r w:rsidRPr="009E150B">
        <w:rPr>
          <w:rFonts w:ascii="Palatino Linotype" w:hAnsi="Palatino Linotype"/>
          <w:sz w:val="24"/>
          <w:szCs w:val="24"/>
        </w:rPr>
        <w:t>c) i debiti già integralmente estinti, per pagamento o per altra causa, alla data di presentazione della dichiarazione di adesione;</w:t>
      </w:r>
    </w:p>
    <w:p w:rsidR="001479AB" w:rsidRPr="009E150B" w:rsidRDefault="00BD4577">
      <w:pPr>
        <w:spacing w:after="80" w:line="276" w:lineRule="auto"/>
        <w:ind w:left="567"/>
        <w:jc w:val="both"/>
        <w:rPr>
          <w:rFonts w:ascii="Palatino Linotype" w:hAnsi="Palatino Linotype"/>
          <w:sz w:val="24"/>
          <w:szCs w:val="24"/>
        </w:rPr>
      </w:pPr>
      <w:r w:rsidRPr="009E150B">
        <w:rPr>
          <w:rFonts w:ascii="Palatino Linotype" w:hAnsi="Palatino Linotype"/>
          <w:sz w:val="24"/>
          <w:szCs w:val="24"/>
        </w:rPr>
        <w:t>d) gli accertamenti che acquistano efficacia esecutiva successivamente alla data di entrata in vigore del presente regolamento, ancorché notificati in data anteriore, e le ingiunzioni emesse successivamente alla medesima data.</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6. La definizione agevolata non dà in alcun caso diritto al rimborso o alla restituzione di sanzioni, interessi e oneri di riscossione già versati, a qualsiasi titolo, prima della presentazione della dichiarazione di adesione, né di quelli versati all'Agenzia delle entrate-Riscossione.</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3</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Carichi affidati all'Agenzia delle entrate-Riscossione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La definizione agevolata di cui al presente regolamento non si applica ai debiti il cui carico, alla data di presentazione della dichiarazione di adesione, risulta già affidato dal Comune all'Agenzia delle entrate-Riscossione. Le relative istanze, se presentate, sono dichiarate inammissibili.</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Per i carichi affidati all'Agenzia delle entrate-Riscossione dal 1° gennaio 2000 al 31 dicembre 2023 trova applicazione la definizione agevolata di cui all'articolo 1, commi da 82 a 101, della legge n. 199 del 2025 (cosiddetta "rottamazione-</w:t>
      </w:r>
      <w:proofErr w:type="spellStart"/>
      <w:r w:rsidRPr="009E150B">
        <w:rPr>
          <w:rFonts w:ascii="Palatino Linotype" w:hAnsi="Palatino Linotype"/>
          <w:sz w:val="24"/>
          <w:szCs w:val="24"/>
        </w:rPr>
        <w:t>quinquies</w:t>
      </w:r>
      <w:proofErr w:type="spellEnd"/>
      <w:r w:rsidRPr="009E150B">
        <w:rPr>
          <w:rFonts w:ascii="Palatino Linotype" w:hAnsi="Palatino Linotype"/>
          <w:sz w:val="24"/>
          <w:szCs w:val="24"/>
        </w:rPr>
        <w:t>"), alla quale il Comune ha aderito con deliberazione del Consiglio comunale n.</w:t>
      </w:r>
      <w:r w:rsidR="009E150B">
        <w:rPr>
          <w:rFonts w:ascii="Palatino Linotype" w:hAnsi="Palatino Linotype"/>
          <w:sz w:val="24"/>
          <w:szCs w:val="24"/>
        </w:rPr>
        <w:t xml:space="preserve"> 12</w:t>
      </w:r>
      <w:r w:rsidRPr="009E150B">
        <w:rPr>
          <w:rFonts w:ascii="Palatino Linotype" w:hAnsi="Palatino Linotype"/>
          <w:sz w:val="24"/>
          <w:szCs w:val="24"/>
        </w:rPr>
        <w:t xml:space="preserve"> del </w:t>
      </w:r>
      <w:r w:rsidR="009E150B">
        <w:rPr>
          <w:rFonts w:ascii="Palatino Linotype" w:hAnsi="Palatino Linotype"/>
          <w:sz w:val="24"/>
          <w:szCs w:val="24"/>
        </w:rPr>
        <w:t>06.06.2026</w:t>
      </w:r>
      <w:r w:rsidRPr="009E150B">
        <w:rPr>
          <w:rFonts w:ascii="Palatino Linotype" w:hAnsi="Palatino Linotype"/>
          <w:sz w:val="24"/>
          <w:szCs w:val="24"/>
        </w:rPr>
        <w:t>; le relative dichiarazioni di adesione sono presentate dai debitori esclusivamente all'Agenzia delle entrate-Riscossione, nei termini e con le modalità stabiliti dalla legge.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3. A decorrere dalla data di entrata in vigore del presente regolamento e fino alla scadenza del termine di cui all'articolo 4, comma 1, il Comune sospende l'affidamento all'Agenzia delle entrate-Riscossione dei carichi relativi ai debiti definibili ai sensi dell'articolo 2, fatte salve le ipotesi in cui l'affidamento sia necessario per evitare la prescrizione del credito.</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4. I carichi affidati all'Agenzia delle entrate-Riscossione successivamente al 31 dicembre 2023 restano esclusi da ogni forma di definizione e seguono la riscossione ordinaria da parte dell'Agente.</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4</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Dichiarazione di adesione e procedura</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Il debitore che intende avvalersi della definizione agevolata presenta al Comune apposita dichiarazione di adesione entro il 31 dicembre 2026. Qualora la pubblicazione del presente regolamento sul sito internet istituzionale avvenga dopo il 1° novembre 2026, il termine è differito al sessantesimo giorno successivo alla pubblicazione, nel rispetto dell'articolo 1, comma 106, della legge n. 199 del 2025; il termine effettivo è indicato nell'avviso pubblico di cui al comma 2. La dichiarazione è redatta sulla modulistica approvata dal Responsabile dell'Area Affari Generali e Finanziaria e resa disponibile sul sito internet istituzionale entro quindici giorni dalla pubblicazione del regolamento; è presentata a mezzo posta elettronica certificata all'indirizzo protocollo.terravecchia@asmepec.it, mediante consegna a mano all'Ufficio protocollo o con raccomandata con avviso di ricevimento.</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Entro quindici giorni dalla pubblicazione del regolamento il Responsabile dell'Area Affari Generali e Finanziaria pubblica sul sito internet istituzionale e all'albo pretorio un avviso pubblico contenente il termine di scadenza per la presentazione delle dichiarazioni, la modulistica e le modalità di pagamento.</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3. Nella dichiarazione di adesione il debitore indica gli atti e i debiti che intende definire, la scelta tra il pagamento in unica soluzione e il pagamento rateale con il numero di rate richiesto, nonché, in modo esaustivo, l'eventuale pendenza di giudizi aventi ad oggetto i carichi ricompresi nella dichiarazione, assumendo l'impegno di cui all'articolo 9.</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4. Prima della presentazione della dichiarazione il debitore può chiedere all'Ufficio tributi il prospetto dei propri debiti definibili; l'Ufficio provvede entro quindici giorni dalla richiesta.</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5. Il Comune, entro trenta giorni dal ricevimento della dichiarazione, comunica al debitore l'ammontare complessivo delle somme dovute ai fini della definizione, le modalità di pagamento e, in caso di pagamento rateale, l'importo e la scadenza di ciascuna rata. Con la stessa comunicazione il Comune indica l'eventuale diniego, totale o parziale, della definizione, con la relativa motivazione.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6. Il pagamento è effettuato:</w:t>
      </w:r>
    </w:p>
    <w:p w:rsidR="001479AB" w:rsidRPr="009E150B" w:rsidRDefault="00BD4577">
      <w:pPr>
        <w:spacing w:after="80" w:line="276" w:lineRule="auto"/>
        <w:ind w:left="567"/>
        <w:jc w:val="both"/>
        <w:rPr>
          <w:rFonts w:ascii="Palatino Linotype" w:hAnsi="Palatino Linotype"/>
          <w:sz w:val="24"/>
          <w:szCs w:val="24"/>
        </w:rPr>
      </w:pPr>
      <w:r w:rsidRPr="009E150B">
        <w:rPr>
          <w:rFonts w:ascii="Palatino Linotype" w:hAnsi="Palatino Linotype"/>
          <w:sz w:val="24"/>
          <w:szCs w:val="24"/>
        </w:rPr>
        <w:t>a) in unica soluzione, entro trenta giorni dal ricevimento della comunicazione di cui al comma 5;</w:t>
      </w:r>
    </w:p>
    <w:p w:rsidR="001479AB" w:rsidRPr="009E150B" w:rsidRDefault="00BD4577">
      <w:pPr>
        <w:spacing w:after="80" w:line="276" w:lineRule="auto"/>
        <w:ind w:left="567"/>
        <w:jc w:val="both"/>
        <w:rPr>
          <w:rFonts w:ascii="Palatino Linotype" w:hAnsi="Palatino Linotype"/>
          <w:sz w:val="24"/>
          <w:szCs w:val="24"/>
        </w:rPr>
      </w:pPr>
      <w:r w:rsidRPr="009E150B">
        <w:rPr>
          <w:rFonts w:ascii="Palatino Linotype" w:hAnsi="Palatino Linotype"/>
          <w:sz w:val="24"/>
          <w:szCs w:val="24"/>
        </w:rPr>
        <w:t>b) ovvero, per importi complessivi superiori a euro [300,00], in un numero massimo di [diciotto] rate mensili di pari importo, ciascuna non inferiore a euro [50,00], con scadenza della prima rata entro trenta giorni dal ricevimento della comunicazione di cui al comma 5 e delle successive entro l'ultimo giorno di ciascun mese.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7. In caso di pagamento rateale si applicano, a decorrere dal giorno successivo alla scadenza della prima rata, gli interessi al tasso legale. Non è ammessa la compensazione con crediti vantati dal debitore nei confronti del Comune.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 xml:space="preserve">8. I versamenti sono effettuati tramite </w:t>
      </w:r>
      <w:r w:rsidR="009A2F64">
        <w:rPr>
          <w:rFonts w:ascii="Palatino Linotype" w:hAnsi="Palatino Linotype"/>
          <w:sz w:val="24"/>
          <w:szCs w:val="24"/>
        </w:rPr>
        <w:t>moduli comunicati dall’ufficio tributi</w:t>
      </w:r>
      <w:r w:rsidRPr="009E150B">
        <w:rPr>
          <w:rFonts w:ascii="Palatino Linotype" w:hAnsi="Palatino Linotype"/>
          <w:sz w:val="24"/>
          <w:szCs w:val="24"/>
        </w:rPr>
        <w:t>.</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5</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Effetti della definizione agevolata</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Il pagamento dell'unica rata o della prima rata delle somme dovute ai fini della definizione determina, limitatamente ai debiti definiti, la revoca automatica dell'eventuale dilazione precedentemente accordata e ancora in essere.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La definizione si perfeziona con l'integrale pagamento delle somme dovute nei termini stabiliti. In caso di mancato, insufficiente o tardivo versamento, superiore a cinque giorni rispetto alla scadenza stabilita, dell'unica rata ovvero di una delle rate in cui è stato dilazionato il pagamento, la definizione non produce effetti. In tal caso, relativamente ai debiti per i quali la definizione non ha prodotto effetti, i versamenti effettuati sono acquisiti a titolo di acconto dell'importo complessivamente dovuto, comprensivo di sanzioni e interessi, e il Comune riprende le azioni di riscossione coattiva.</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3. Il perfezionamento della definizione estingue il debito per la parte relativa a sanzioni, interessi e oneri di riscossione non dovuti ai sensi dell'articolo 2, comma 1.</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6</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Definizione agevolata degli importi oggetto di rateizzazione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La facoltà di definizione prevista dall'articolo 2 può essere esercitata anche dai debitori che hanno già pagato parzialmente, anche a seguito di provvedimenti di dilazione, le somme dovute relativamente agli accertamenti esecutivi e alle ingiunzioni di pagamento di cui all'articolo 2, comma 2. In tal caso, ai fini della determinazione delle somme da versare ai sensi dell'articolo 4, comma 5, non si tiene conto degli importi già versati a titolo di sanzioni e interessi, compresi quelli di dilazione, che restano definitivamente acquisiti e non sono rimborsabili.</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A seguito della presentazione della dichiarazione di adesione sono sospesi, per i debiti oggetto della dichiarazione e fino alla scadenza dell'unica o della prima rata delle somme dovute, gli obblighi di pagamento derivanti da precedenti dilazioni in essere, relativamente alle rate in scadenza in data successiva alla presentazione della dichiarazione.</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7</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Definizione agevolata degli importi inclusi in accordi o piani del consumatore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Sono compresi nella definizione agevolata di cui all'articolo 2 anche i debiti che rientrano nei procedimenti instaurati a seguito di istanza presentata dai debitori ai sensi del capo II, sezione prima, della legge 27 gennaio 2012, n. 3, o della parte prima, titolo IV, capo II, sezioni II e III, del codice della crisi d'impresa e dell'insolvenza, di cui al decreto legislativo 12 gennaio 2019, n. 14, con la possibilità di effettuare il pagamento del debito, anche falcidiato, con le modalità e nei tempi eventualmente previsti nel decreto di omologazione.</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8</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Procedure cautelari ed esecutive in corso</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Dopo la presentazione della dichiarazione di adesione e relativamente ai debiti definibili, il Comune non può avviare nuove azioni esecutive né iscrivere nuovi fermi amministrativi e ipoteche, fatti salvi i fermi amministrativi e le ipoteche già iscritti alla data di presentazione della dichiarazione, e non può proseguire le procedure di recupero coattivo precedentemente avviate, a condizione che non si sia ancora tenuto il primo incanto con esito positivo.</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A seguito del perfezionamento della definizione il Comune provvede, a spese del debitore, alla cancellazione dei fermi amministrativi e delle ipoteche iscritti in relazione ai debiti definiti.</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9</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Rinuncia al contenzioso pendente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Nella dichiarazione di adesione il debitore indica in modo esaustivo l'eventuale pendenza di giudizi aventi ad oggetto i carichi in essa ricompresi e assume l'impegno a rinunciare agli stessi. Il debitore deposita istanza di rinuncia al giudizio ai sensi dell'articolo 42 del decreto legislativo 31 dicembre 1992, n. 546, e, dal 1° gennaio 2027, ai sensi dell'articolo 93 del decreto legislativo 14 novembre 2024, n. 175, nei trenta giorni successivi alla scadenza del pagamento dell'unica o della prima rata, allegando la relativa quietanza. La dichiarazione di adesione, allegata all'istanza di rinuncia, produce l'effetto di accettazione della rinuncia da parte del Comune e di accordo tra le parti per la compensazione delle spese di lite. La mancata indicazione di giudizi pendenti comporta l'inefficacia della definizione con riferimento ai carichi interessati.</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Nell'ipotesi in cui l'impugnazione sia stata proposta dal Comune, con la presentazione della dichiarazione di adesione il debitore si impegna ad accettare, con compensazione delle spese di lite, l'atto di rinuncia che sarà depositato dal Comune, allegando la quietanza di pagamento dell'unica o della prima rata.</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3. Il mancato deposito dell'istanza di rinuncia da parte del debitore, o la mancata accettazione della rinuncia proposta dal Comune, determina l'inefficacia della definizione agevolata con riferimento ai debiti oggetto del contenzioso e i versamenti effettuati sono acquisiti a titolo di acconto dell'importo complessivamente dovuto.</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10</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Competenze e adempimenti</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Gli adempimenti previsti dal presente regolamento sono di competenza del Responsabile dell'Area Affari Generali e Finanziaria, in qualità di funzionario responsabile dei tributi, che vi provvede con propri atti, anche per le entrate patrimoniali.</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Il Responsabile relaziona alla Giunta comunale, entro sessanta giorni dalla scadenza del termine di cui all'articolo 4, comma 1, sul numero delle dichiarazioni presentate e sugli importi definiti, ai fini delle conseguenti variazioni di bilancio e dell'adeguamento del fondo crediti di dubbia esigibilità.</w:t>
      </w:r>
    </w:p>
    <w:p w:rsidR="001479AB" w:rsidRPr="009E150B" w:rsidRDefault="00BD4577">
      <w:pPr>
        <w:keepNext/>
        <w:spacing w:before="280"/>
        <w:jc w:val="center"/>
        <w:rPr>
          <w:rFonts w:ascii="Palatino Linotype" w:hAnsi="Palatino Linotype"/>
          <w:sz w:val="24"/>
          <w:szCs w:val="24"/>
        </w:rPr>
      </w:pPr>
      <w:r w:rsidRPr="009E150B">
        <w:rPr>
          <w:rFonts w:ascii="Palatino Linotype" w:hAnsi="Palatino Linotype"/>
          <w:b/>
          <w:bCs/>
          <w:sz w:val="24"/>
          <w:szCs w:val="24"/>
        </w:rPr>
        <w:t>Articolo 11</w:t>
      </w:r>
    </w:p>
    <w:p w:rsidR="001479AB" w:rsidRPr="009E150B" w:rsidRDefault="00BD4577">
      <w:pPr>
        <w:keepNext/>
        <w:spacing w:after="140"/>
        <w:jc w:val="center"/>
        <w:rPr>
          <w:rFonts w:ascii="Palatino Linotype" w:hAnsi="Palatino Linotype"/>
          <w:sz w:val="24"/>
          <w:szCs w:val="24"/>
        </w:rPr>
      </w:pPr>
      <w:r w:rsidRPr="009E150B">
        <w:rPr>
          <w:rFonts w:ascii="Palatino Linotype" w:hAnsi="Palatino Linotype"/>
          <w:b/>
          <w:bCs/>
          <w:sz w:val="24"/>
          <w:szCs w:val="24"/>
        </w:rPr>
        <w:t>Entrata in vigore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1. Il presente regolamento entra in vigore e acquista efficacia il giorno della sua pubblicazione sul sito internet istituzionale del Comune, ai sensi dell'articolo 1, comma 108, della legge n. 199 del 2025, ed è trasmesso, ai soli fini statistici, al Ministero dell'economia e delle finanze – Dipartimento delle finanze entro sessanta giorni dalla data di pubblicazione.</w:t>
      </w:r>
    </w:p>
    <w:p w:rsidR="001479AB" w:rsidRPr="009E150B" w:rsidRDefault="00BD4577">
      <w:pPr>
        <w:spacing w:after="100" w:line="276" w:lineRule="auto"/>
        <w:jc w:val="both"/>
        <w:rPr>
          <w:rFonts w:ascii="Palatino Linotype" w:hAnsi="Palatino Linotype"/>
          <w:sz w:val="24"/>
          <w:szCs w:val="24"/>
        </w:rPr>
      </w:pPr>
      <w:r w:rsidRPr="009E150B">
        <w:rPr>
          <w:rFonts w:ascii="Palatino Linotype" w:hAnsi="Palatino Linotype"/>
          <w:sz w:val="24"/>
          <w:szCs w:val="24"/>
        </w:rPr>
        <w:t>2. Per quanto non previsto dal presente regolamento si applicano le disposizioni di legge vigenti e il regolamento generale delle entrate del Comune.</w:t>
      </w:r>
    </w:p>
    <w:sectPr w:rsidR="001479AB" w:rsidRPr="009E150B">
      <w:pgSz w:w="11906" w:h="16838"/>
      <w:pgMar w:top="1418" w:right="1418" w:bottom="1418"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B52FC"/>
    <w:multiLevelType w:val="hybridMultilevel"/>
    <w:tmpl w:val="99ACE0E0"/>
    <w:lvl w:ilvl="0" w:tplc="9C200CA6">
      <w:start w:val="1"/>
      <w:numFmt w:val="bullet"/>
      <w:lvlText w:val="●"/>
      <w:lvlJc w:val="left"/>
      <w:pPr>
        <w:ind w:left="720" w:hanging="360"/>
      </w:pPr>
    </w:lvl>
    <w:lvl w:ilvl="1" w:tplc="7D48918A">
      <w:start w:val="1"/>
      <w:numFmt w:val="bullet"/>
      <w:lvlText w:val="○"/>
      <w:lvlJc w:val="left"/>
      <w:pPr>
        <w:ind w:left="1440" w:hanging="360"/>
      </w:pPr>
    </w:lvl>
    <w:lvl w:ilvl="2" w:tplc="CA7A211E">
      <w:start w:val="1"/>
      <w:numFmt w:val="bullet"/>
      <w:lvlText w:val="■"/>
      <w:lvlJc w:val="left"/>
      <w:pPr>
        <w:ind w:left="2160" w:hanging="360"/>
      </w:pPr>
    </w:lvl>
    <w:lvl w:ilvl="3" w:tplc="BEA411C0">
      <w:start w:val="1"/>
      <w:numFmt w:val="bullet"/>
      <w:lvlText w:val="●"/>
      <w:lvlJc w:val="left"/>
      <w:pPr>
        <w:ind w:left="2880" w:hanging="360"/>
      </w:pPr>
    </w:lvl>
    <w:lvl w:ilvl="4" w:tplc="563246AE">
      <w:start w:val="1"/>
      <w:numFmt w:val="bullet"/>
      <w:lvlText w:val="○"/>
      <w:lvlJc w:val="left"/>
      <w:pPr>
        <w:ind w:left="3600" w:hanging="360"/>
      </w:pPr>
    </w:lvl>
    <w:lvl w:ilvl="5" w:tplc="FD461BD8">
      <w:start w:val="1"/>
      <w:numFmt w:val="bullet"/>
      <w:lvlText w:val="■"/>
      <w:lvlJc w:val="left"/>
      <w:pPr>
        <w:ind w:left="4320" w:hanging="360"/>
      </w:pPr>
    </w:lvl>
    <w:lvl w:ilvl="6" w:tplc="B6DCCC1E">
      <w:start w:val="1"/>
      <w:numFmt w:val="bullet"/>
      <w:lvlText w:val="●"/>
      <w:lvlJc w:val="left"/>
      <w:pPr>
        <w:ind w:left="5040" w:hanging="360"/>
      </w:pPr>
    </w:lvl>
    <w:lvl w:ilvl="7" w:tplc="28DABD18">
      <w:start w:val="1"/>
      <w:numFmt w:val="bullet"/>
      <w:lvlText w:val="●"/>
      <w:lvlJc w:val="left"/>
      <w:pPr>
        <w:ind w:left="5760" w:hanging="360"/>
      </w:pPr>
    </w:lvl>
    <w:lvl w:ilvl="8" w:tplc="BDA88A0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9AB"/>
    <w:rsid w:val="001479AB"/>
    <w:rsid w:val="005366E4"/>
    <w:rsid w:val="007D3900"/>
    <w:rsid w:val="009A2F64"/>
    <w:rsid w:val="009E150B"/>
    <w:rsid w:val="00BD4577"/>
    <w:rsid w:val="00E4632D"/>
    <w:rsid w:val="00FB6E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FAA40"/>
  <w15:docId w15:val="{9FB9F3AB-961D-461A-8CD0-6149EB45A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3"/>
        <w:szCs w:val="23"/>
        <w:lang w:val="it-IT" w:eastAsia="it-IT"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2125</Words>
  <Characters>12115</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Ragioneria</cp:lastModifiedBy>
  <cp:revision>3</cp:revision>
  <dcterms:created xsi:type="dcterms:W3CDTF">2026-10-06T08:22:00Z</dcterms:created>
  <dcterms:modified xsi:type="dcterms:W3CDTF">2026-10-06T08:22:00Z</dcterms:modified>
</cp:coreProperties>
</file>